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BB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3DB74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实验2 测电池电动势和内阻的创新实验</w:t>
      </w:r>
    </w:p>
    <w:p w14:paraId="46FD1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13007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2.其他几种测量电池电动势和内阻的方法：</w:t>
      </w:r>
    </w:p>
    <w:p w14:paraId="280BB47C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(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+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)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分压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49C32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112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15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U+</m:t>
        </m:r>
        <m:f>
          <m:fP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U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u w:val="none"/>
          <w:lang w:val="en-US" w:eastAsia="zh-CN"/>
        </w:rPr>
        <w:t>。</w:t>
      </w:r>
    </w:p>
    <w:p w14:paraId="5ACCB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113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4D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A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安安法测量电池电动势和内阻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均无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系统误差。</w:t>
      </w:r>
    </w:p>
    <w:p w14:paraId="6F2F7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114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E4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184150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115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</w:t>
      </w:r>
      <m:oMath>
        <m:sSub>
          <m:sSubP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Times New Roman" w:eastAsia="宋体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default" w:ascii="Cambria Math" w:hAnsi="Times New Roman" w:eastAsia="宋体" w:cs="Times New Roman"/>
            <w:color w:val="FF0000"/>
            <w:sz w:val="21"/>
            <w:u w:val="single"/>
            <w:lang w:val="en-US" w:eastAsia="zh-CN"/>
          </w:rPr>
          <m:t>+</m:t>
        </m:r>
        <m:f>
          <m:fPr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num>
          <m:den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+r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V</w:t>
      </w:r>
      <w:r>
        <w:rPr>
          <w:rFonts w:hint="eastAsia"/>
          <w:sz w:val="21"/>
          <w:vertAlign w:val="subscript"/>
          <w:lang w:val="en-US" w:eastAsia="zh-CN"/>
        </w:rPr>
        <w:t>1</w:t>
      </w:r>
      <w:r>
        <w:rPr>
          <w:rFonts w:hint="eastAsia"/>
          <w:sz w:val="21"/>
          <w:lang w:val="en-US" w:eastAsia="zh-CN"/>
        </w:rPr>
        <w:t>、电压表V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伏伏法测量电池电动势和内阻</w:t>
      </w:r>
      <w:r>
        <w:rPr>
          <w:rFonts w:hint="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sz w:val="21"/>
          <w:lang w:val="en-US" w:eastAsia="zh-CN"/>
        </w:rPr>
        <w:t>系统误差来源为电压表的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0E298EC0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183CF7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946EA3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1F07532C80C4472587ED9F5BC203336B_13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